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sz w:val="40"/>
          <w:szCs w:val="40"/>
        </w:rPr>
        <w:t xml:space="preserve">Functional Specification</w:t>
      </w:r>
    </w:p>
    <w:p>
      <w:pPr>
        <w:spacing w:after="300"/>
      </w:pPr>
      <w:r>
        <w:rPr>
          <w:color w:val="444444"/>
          <w:sz w:val="26"/>
          <w:szCs w:val="26"/>
        </w:rPr>
        <w:t xml:space="preserve">Cost Center Category Restriction by Company Code and Profit Center</w:t>
      </w:r>
    </w:p>
    <w:tbl>
      <w:tblPr>
        <w:tblW w:type="dxa" w:w="9540"/>
        <w:tblBorders>
          <w:top w:val="single" w:color="auto" w:sz="4"/>
          <w:left w:val="single" w:color="auto" w:sz="4"/>
          <w:bottom w:val="single" w:color="auto" w:sz="4"/>
          <w:right w:val="single" w:color="auto" w:sz="4"/>
          <w:insideH w:val="single" w:color="auto" w:sz="4"/>
          <w:insideV w:val="single" w:color="auto" w:sz="4"/>
        </w:tblBorders>
      </w:tblPr>
      <w:tblGrid>
        <w:gridCol w:w="3000"/>
        <w:gridCol w:w="6540"/>
      </w:tblGrid>
      <w:tr>
        <w:tc>
          <w:tcPr>
            <w:tcW w:type="dxa" w:w="3000"/>
            <w:shd w:fill="E7EDF6" w:color="auto" w:val="clear"/>
            <w:tcMar>
              <w:top w:type="dxa" w:w="80"/>
              <w:left w:type="dxa" w:w="100"/>
              <w:bottom w:type="dxa" w:w="80"/>
              <w:right w:type="dxa" w:w="100"/>
            </w:tcMar>
          </w:tcPr>
          <w:p>
            <w:r>
              <w:rPr>
                <w:b/>
                <w:bCs/>
                <w:sz w:val="20"/>
                <w:szCs w:val="20"/>
              </w:rPr>
              <w:t xml:space="preserve">Document Title</w:t>
            </w:r>
          </w:p>
        </w:tc>
        <w:tc>
          <w:tcPr>
            <w:tcW w:type="dxa" w:w="6540"/>
            <w:tcMar>
              <w:top w:type="dxa" w:w="80"/>
              <w:left w:type="dxa" w:w="100"/>
              <w:bottom w:type="dxa" w:w="80"/>
              <w:right w:type="dxa" w:w="100"/>
            </w:tcMar>
          </w:tcPr>
          <w:p>
            <w:r>
              <w:rPr>
                <w:sz w:val="20"/>
                <w:szCs w:val="20"/>
              </w:rPr>
              <w:t xml:space="preserve">Functional Specification – Cost Center Category Restriction by Company Code and Profit Center</w:t>
            </w:r>
          </w:p>
        </w:tc>
      </w:tr>
      <w:tr>
        <w:tc>
          <w:tcPr>
            <w:tcW w:type="dxa" w:w="3000"/>
            <w:shd w:fill="E7EDF6" w:color="auto" w:val="clear"/>
            <w:tcMar>
              <w:top w:type="dxa" w:w="80"/>
              <w:left w:type="dxa" w:w="100"/>
              <w:bottom w:type="dxa" w:w="80"/>
              <w:right w:type="dxa" w:w="100"/>
            </w:tcMar>
          </w:tcPr>
          <w:p>
            <w:r>
              <w:rPr>
                <w:b/>
                <w:bCs/>
                <w:sz w:val="20"/>
                <w:szCs w:val="20"/>
              </w:rPr>
              <w:t xml:space="preserve">Object Type</w:t>
            </w:r>
          </w:p>
        </w:tc>
        <w:tc>
          <w:tcPr>
            <w:tcW w:type="dxa" w:w="6540"/>
            <w:tcMar>
              <w:top w:type="dxa" w:w="80"/>
              <w:left w:type="dxa" w:w="100"/>
              <w:bottom w:type="dxa" w:w="80"/>
              <w:right w:type="dxa" w:w="100"/>
            </w:tcMar>
          </w:tcPr>
          <w:p>
            <w:r>
              <w:rPr>
                <w:sz w:val="20"/>
                <w:szCs w:val="20"/>
              </w:rPr>
              <w:t xml:space="preserve">Validation (KS01 / KS02) – Custom Check on Cost Center Master Data</w:t>
            </w:r>
          </w:p>
        </w:tc>
      </w:tr>
      <w:tr>
        <w:tc>
          <w:tcPr>
            <w:tcW w:type="dxa" w:w="3000"/>
            <w:shd w:fill="E7EDF6" w:color="auto" w:val="clear"/>
            <w:tcMar>
              <w:top w:type="dxa" w:w="80"/>
              <w:left w:type="dxa" w:w="100"/>
              <w:bottom w:type="dxa" w:w="80"/>
              <w:right w:type="dxa" w:w="100"/>
            </w:tcMar>
          </w:tcPr>
          <w:p>
            <w:r>
              <w:rPr>
                <w:b/>
                <w:bCs/>
                <w:sz w:val="20"/>
                <w:szCs w:val="20"/>
              </w:rPr>
              <w:t xml:space="preserve">Reference Table</w:t>
            </w:r>
          </w:p>
        </w:tc>
        <w:tc>
          <w:tcPr>
            <w:tcW w:type="dxa" w:w="6540"/>
            <w:tcMar>
              <w:top w:type="dxa" w:w="80"/>
              <w:left w:type="dxa" w:w="100"/>
              <w:bottom w:type="dxa" w:w="80"/>
              <w:right w:type="dxa" w:w="100"/>
            </w:tcMar>
          </w:tcPr>
          <w:p>
            <w:r>
              <w:rPr>
                <w:sz w:val="20"/>
                <w:szCs w:val="20"/>
              </w:rPr>
              <w:t xml:space="preserve">ZVAR_PARAM</w:t>
            </w:r>
          </w:p>
        </w:tc>
      </w:tr>
      <w:tr>
        <w:tc>
          <w:tcPr>
            <w:tcW w:type="dxa" w:w="3000"/>
            <w:shd w:fill="E7EDF6" w:color="auto" w:val="clear"/>
            <w:tcMar>
              <w:top w:type="dxa" w:w="80"/>
              <w:left w:type="dxa" w:w="100"/>
              <w:bottom w:type="dxa" w:w="80"/>
              <w:right w:type="dxa" w:w="100"/>
            </w:tcMar>
          </w:tcPr>
          <w:p>
            <w:r>
              <w:rPr>
                <w:b/>
                <w:bCs/>
                <w:sz w:val="20"/>
                <w:szCs w:val="20"/>
              </w:rPr>
              <w:t xml:space="preserve">Transactions Affected</w:t>
            </w:r>
          </w:p>
        </w:tc>
        <w:tc>
          <w:tcPr>
            <w:tcW w:type="dxa" w:w="6540"/>
            <w:tcMar>
              <w:top w:type="dxa" w:w="80"/>
              <w:left w:type="dxa" w:w="100"/>
              <w:bottom w:type="dxa" w:w="80"/>
              <w:right w:type="dxa" w:w="100"/>
            </w:tcMar>
          </w:tcPr>
          <w:p>
            <w:r>
              <w:rPr>
                <w:sz w:val="20"/>
                <w:szCs w:val="20"/>
              </w:rPr>
              <w:t xml:space="preserve">KS01 (Create Cost Center), KS02 (Change Cost Center)</w:t>
            </w:r>
          </w:p>
        </w:tc>
      </w:tr>
      <w:tr>
        <w:tc>
          <w:tcPr>
            <w:tcW w:type="dxa" w:w="3000"/>
            <w:shd w:fill="E7EDF6" w:color="auto" w:val="clear"/>
            <w:tcMar>
              <w:top w:type="dxa" w:w="80"/>
              <w:left w:type="dxa" w:w="100"/>
              <w:bottom w:type="dxa" w:w="80"/>
              <w:right w:type="dxa" w:w="100"/>
            </w:tcMar>
          </w:tcPr>
          <w:p>
            <w:r>
              <w:rPr>
                <w:b/>
                <w:bCs/>
                <w:sz w:val="20"/>
                <w:szCs w:val="20"/>
              </w:rPr>
              <w:t xml:space="preserve">Status</w:t>
            </w:r>
          </w:p>
        </w:tc>
        <w:tc>
          <w:tcPr>
            <w:tcW w:type="dxa" w:w="6540"/>
            <w:tcMar>
              <w:top w:type="dxa" w:w="80"/>
              <w:left w:type="dxa" w:w="100"/>
              <w:bottom w:type="dxa" w:w="80"/>
              <w:right w:type="dxa" w:w="100"/>
            </w:tcMar>
          </w:tcPr>
          <w:p>
            <w:r>
              <w:rPr>
                <w:sz w:val="20"/>
                <w:szCs w:val="20"/>
              </w:rPr>
              <w:t xml:space="preserve">Draft – for review</w:t>
            </w:r>
          </w:p>
        </w:tc>
      </w:tr>
    </w:tbl>
    <w:p>
      <w:pPr>
        <w:pBdr>
          <w:bottom w:val="single" w:color="999999" w:sz="6"/>
        </w:pBdr>
        <w:spacing w:after="200"/>
      </w:pPr>
    </w:p>
    <w:p>
      <w:pPr>
        <w:pStyle w:val="Heading1"/>
        <w:spacing w:after="150" w:before="300"/>
      </w:pPr>
      <w:r>
        <w:t xml:space="preserve">1. Business Requirement</w:t>
      </w:r>
    </w:p>
    <w:p>
      <w:pPr>
        <w:spacing w:after="120"/>
      </w:pPr>
      <w:r>
        <w:t xml:space="preserve">Restrict which Cost Center Category (CSKS-KOSAR) can be assigned to a cost center at creation (KS01) or change (KS02), based on the combination of Company Code (BUKRS) and Profit Center (PRCTR) entered on the cost center master record. The list of allowed categories per Company Code / Profit Center combination is maintained in the custom table ZVAR_PARAM.</w:t>
      </w:r>
    </w:p>
    <w:p>
      <w:pPr>
        <w:pStyle w:val="Heading1"/>
        <w:spacing w:after="150" w:before="300"/>
      </w:pPr>
      <w:r>
        <w:t xml:space="preserve">2. Scope</w:t>
      </w:r>
    </w:p>
    <w:p>
      <w:pPr>
        <w:pStyle w:val="Heading2"/>
        <w:spacing w:after="120" w:before="250"/>
      </w:pPr>
      <w:r>
        <w:t xml:space="preserve">2.1 In Scope</w:t>
      </w:r>
    </w:p>
    <w:p>
      <w:pPr>
        <w:pStyle w:val="ListParagraph"/>
        <w:numPr>
          <w:ilvl w:val="0"/>
          <w:numId w:val="1"/>
        </w:numPr>
        <w:spacing w:after="60"/>
      </w:pPr>
      <w:r>
        <w:t xml:space="preserve">Validation triggered on save in KS01 (Create Cost Center) and KS02 (Change Cost Center).</w:t>
      </w:r>
    </w:p>
    <w:p>
      <w:pPr>
        <w:pStyle w:val="ListParagraph"/>
        <w:numPr>
          <w:ilvl w:val="0"/>
          <w:numId w:val="1"/>
        </w:numPr>
        <w:spacing w:after="60"/>
      </w:pPr>
      <w:r>
        <w:t xml:space="preserve">Lookup of allowed Cost Center Category values from ZVAR_PARAM using Company Code and Profit Center as key.</w:t>
      </w:r>
    </w:p>
    <w:p>
      <w:pPr>
        <w:pStyle w:val="ListParagraph"/>
        <w:numPr>
          <w:ilvl w:val="0"/>
          <w:numId w:val="1"/>
        </w:numPr>
        <w:spacing w:after="60"/>
      </w:pPr>
      <w:r>
        <w:t xml:space="preserve">Hard-error block if the entered category is not in the allowed list.</w:t>
      </w:r>
    </w:p>
    <w:p>
      <w:pPr>
        <w:pStyle w:val="Heading2"/>
        <w:spacing w:after="120" w:before="250"/>
      </w:pPr>
      <w:r>
        <w:t xml:space="preserve">2.2 Out of Scope</w:t>
      </w:r>
    </w:p>
    <w:p>
      <w:pPr>
        <w:pStyle w:val="ListParagraph"/>
        <w:numPr>
          <w:ilvl w:val="0"/>
          <w:numId w:val="1"/>
        </w:numPr>
        <w:spacing w:after="60"/>
      </w:pPr>
      <w:r>
        <w:t xml:space="preserve">Mass maintenance transactions (e.g. KS12, LSMW/BAPI-based mass creation) — to be assessed separately if required (see Open Point OP2 for related maintenance considerations).</w:t>
      </w:r>
    </w:p>
    <w:p>
      <w:pPr>
        <w:pStyle w:val="ListParagraph"/>
        <w:numPr>
          <w:ilvl w:val="0"/>
          <w:numId w:val="1"/>
        </w:numPr>
        <w:spacing w:after="60"/>
      </w:pPr>
      <w:r>
        <w:t xml:space="preserve">Changes to existing cost centers already in the system prior to go-live (no retroactive check).</w:t>
      </w:r>
    </w:p>
    <w:p>
      <w:pPr>
        <w:pStyle w:val="ListParagraph"/>
        <w:numPr>
          <w:ilvl w:val="0"/>
          <w:numId w:val="1"/>
        </w:numPr>
        <w:spacing w:after="60"/>
      </w:pPr>
      <w:r>
        <w:t xml:space="preserve">Maintenance UI for ZVAR_PARAM itself, beyond confirming the transaction to be used (see Open Point OP2).</w:t>
      </w:r>
    </w:p>
    <w:p>
      <w:pPr>
        <w:pStyle w:val="Heading1"/>
        <w:spacing w:after="150" w:before="300"/>
      </w:pPr>
      <w:r>
        <w:t xml:space="preserve">3. Reference Table: ZVAR_PARAM</w:t>
      </w:r>
    </w:p>
    <w:p>
      <w:pPr>
        <w:spacing w:after="120"/>
      </w:pPr>
      <w:r>
        <w:t xml:space="preserve">Structure as provided. One row per allowed Cost Center Category — a given Company Code + Profit Center combination may have multiple allowed categories (multiple rows).</w:t>
      </w:r>
    </w:p>
    <w:tbl>
      <w:tblPr>
        <w:tblW w:type="dxa" w:w="9540"/>
        <w:tblBorders>
          <w:top w:val="single" w:color="auto" w:sz="4"/>
          <w:left w:val="single" w:color="auto" w:sz="4"/>
          <w:bottom w:val="single" w:color="auto" w:sz="4"/>
          <w:right w:val="single" w:color="auto" w:sz="4"/>
          <w:insideH w:val="single" w:color="auto" w:sz="4"/>
          <w:insideV w:val="single" w:color="auto" w:sz="4"/>
        </w:tblBorders>
      </w:tblPr>
      <w:tblGrid>
        <w:gridCol w:w="2000"/>
        <w:gridCol w:w="1800"/>
        <w:gridCol w:w="2400"/>
        <w:gridCol w:w="3340"/>
      </w:tblGrid>
      <w:tr>
        <w:tc>
          <w:tcPr>
            <w:tcW w:type="dxa" w:w="2000"/>
            <w:shd w:fill="2F5496" w:color="auto" w:val="clear"/>
            <w:tcMar>
              <w:top w:type="dxa" w:w="80"/>
              <w:left w:type="dxa" w:w="100"/>
              <w:bottom w:type="dxa" w:w="80"/>
              <w:right w:type="dxa" w:w="100"/>
            </w:tcMar>
          </w:tcPr>
          <w:p>
            <w:r>
              <w:rPr>
                <w:b/>
                <w:bCs/>
                <w:color w:val="FFFFFF"/>
                <w:sz w:val="20"/>
                <w:szCs w:val="20"/>
              </w:rPr>
              <w:t xml:space="preserve">Field</w:t>
            </w:r>
          </w:p>
        </w:tc>
        <w:tc>
          <w:tcPr>
            <w:tcW w:type="dxa" w:w="1800"/>
            <w:shd w:fill="2F5496" w:color="auto" w:val="clear"/>
            <w:tcMar>
              <w:top w:type="dxa" w:w="80"/>
              <w:left w:type="dxa" w:w="100"/>
              <w:bottom w:type="dxa" w:w="80"/>
              <w:right w:type="dxa" w:w="100"/>
            </w:tcMar>
          </w:tcPr>
          <w:p>
            <w:r>
              <w:rPr>
                <w:b/>
                <w:bCs/>
                <w:color w:val="FFFFFF"/>
                <w:sz w:val="20"/>
                <w:szCs w:val="20"/>
              </w:rPr>
              <w:t xml:space="preserve">Data Element / Type</w:t>
            </w:r>
          </w:p>
        </w:tc>
        <w:tc>
          <w:tcPr>
            <w:tcW w:type="dxa" w:w="2400"/>
            <w:shd w:fill="2F5496" w:color="auto" w:val="clear"/>
            <w:tcMar>
              <w:top w:type="dxa" w:w="80"/>
              <w:left w:type="dxa" w:w="100"/>
              <w:bottom w:type="dxa" w:w="80"/>
              <w:right w:type="dxa" w:w="100"/>
            </w:tcMar>
          </w:tcPr>
          <w:p>
            <w:r>
              <w:rPr>
                <w:b/>
                <w:bCs/>
                <w:color w:val="FFFFFF"/>
                <w:sz w:val="20"/>
                <w:szCs w:val="20"/>
              </w:rPr>
              <w:t xml:space="preserve">Description</w:t>
            </w:r>
          </w:p>
        </w:tc>
        <w:tc>
          <w:tcPr>
            <w:tcW w:type="dxa" w:w="3340"/>
            <w:shd w:fill="2F5496" w:color="auto" w:val="clear"/>
            <w:tcMar>
              <w:top w:type="dxa" w:w="80"/>
              <w:left w:type="dxa" w:w="100"/>
              <w:bottom w:type="dxa" w:w="80"/>
              <w:right w:type="dxa" w:w="100"/>
            </w:tcMar>
          </w:tcPr>
          <w:p>
            <w:r>
              <w:rPr>
                <w:b/>
                <w:bCs/>
                <w:color w:val="FFFFFF"/>
                <w:sz w:val="20"/>
                <w:szCs w:val="20"/>
              </w:rPr>
              <w:t xml:space="preserve">Notes</w:t>
            </w:r>
          </w:p>
        </w:tc>
      </w:tr>
      <w:tr>
        <w:tc>
          <w:tcPr>
            <w:tcW w:type="dxa" w:w="2000"/>
            <w:tcMar>
              <w:top w:type="dxa" w:w="80"/>
              <w:left w:type="dxa" w:w="100"/>
              <w:bottom w:type="dxa" w:w="80"/>
              <w:right w:type="dxa" w:w="100"/>
            </w:tcMar>
          </w:tcPr>
          <w:p>
            <w:r>
              <w:rPr>
                <w:sz w:val="20"/>
                <w:szCs w:val="20"/>
              </w:rPr>
              <w:t xml:space="preserve">PARAM_ID</w:t>
            </w:r>
          </w:p>
        </w:tc>
        <w:tc>
          <w:tcPr>
            <w:tcW w:type="dxa" w:w="1800"/>
            <w:tcMar>
              <w:top w:type="dxa" w:w="80"/>
              <w:left w:type="dxa" w:w="100"/>
              <w:bottom w:type="dxa" w:w="80"/>
              <w:right w:type="dxa" w:w="100"/>
            </w:tcMar>
          </w:tcPr>
          <w:p>
            <w:r>
              <w:rPr>
                <w:sz w:val="20"/>
                <w:szCs w:val="20"/>
              </w:rPr>
              <w:t xml:space="preserve">CHAR(10)</w:t>
            </w:r>
          </w:p>
        </w:tc>
        <w:tc>
          <w:tcPr>
            <w:tcW w:type="dxa" w:w="2400"/>
            <w:tcMar>
              <w:top w:type="dxa" w:w="80"/>
              <w:left w:type="dxa" w:w="100"/>
              <w:bottom w:type="dxa" w:w="80"/>
              <w:right w:type="dxa" w:w="100"/>
            </w:tcMar>
          </w:tcPr>
          <w:p>
            <w:r>
              <w:rPr>
                <w:sz w:val="20"/>
                <w:szCs w:val="20"/>
              </w:rPr>
              <w:t xml:space="preserve">Parameter group identifier</w:t>
            </w:r>
          </w:p>
        </w:tc>
        <w:tc>
          <w:tcPr>
            <w:tcW w:type="dxa" w:w="3340"/>
            <w:tcMar>
              <w:top w:type="dxa" w:w="80"/>
              <w:left w:type="dxa" w:w="100"/>
              <w:bottom w:type="dxa" w:w="80"/>
              <w:right w:type="dxa" w:w="100"/>
            </w:tcMar>
          </w:tcPr>
          <w:p>
            <w:r>
              <w:rPr>
                <w:sz w:val="20"/>
                <w:szCs w:val="20"/>
              </w:rPr>
              <w:t xml:space="preserve">Constant value reserved for this check, e.g. 'CCTR_CAT'</w:t>
            </w:r>
          </w:p>
        </w:tc>
      </w:tr>
      <w:tr>
        <w:tc>
          <w:tcPr>
            <w:tcW w:type="dxa" w:w="2000"/>
            <w:tcMar>
              <w:top w:type="dxa" w:w="80"/>
              <w:left w:type="dxa" w:w="100"/>
              <w:bottom w:type="dxa" w:w="80"/>
              <w:right w:type="dxa" w:w="100"/>
            </w:tcMar>
          </w:tcPr>
          <w:p>
            <w:r>
              <w:rPr>
                <w:sz w:val="20"/>
                <w:szCs w:val="20"/>
              </w:rPr>
              <w:t xml:space="preserve">BUKRS</w:t>
            </w:r>
          </w:p>
        </w:tc>
        <w:tc>
          <w:tcPr>
            <w:tcW w:type="dxa" w:w="1800"/>
            <w:tcMar>
              <w:top w:type="dxa" w:w="80"/>
              <w:left w:type="dxa" w:w="100"/>
              <w:bottom w:type="dxa" w:w="80"/>
              <w:right w:type="dxa" w:w="100"/>
            </w:tcMar>
          </w:tcPr>
          <w:p>
            <w:r>
              <w:rPr>
                <w:sz w:val="20"/>
                <w:szCs w:val="20"/>
              </w:rPr>
              <w:t xml:space="preserve">BUKRS</w:t>
            </w:r>
          </w:p>
        </w:tc>
        <w:tc>
          <w:tcPr>
            <w:tcW w:type="dxa" w:w="2400"/>
            <w:tcMar>
              <w:top w:type="dxa" w:w="80"/>
              <w:left w:type="dxa" w:w="100"/>
              <w:bottom w:type="dxa" w:w="80"/>
              <w:right w:type="dxa" w:w="100"/>
            </w:tcMar>
          </w:tcPr>
          <w:p>
            <w:r>
              <w:rPr>
                <w:sz w:val="20"/>
                <w:szCs w:val="20"/>
              </w:rPr>
              <w:t xml:space="preserve">Company Code</w:t>
            </w:r>
          </w:p>
        </w:tc>
        <w:tc>
          <w:tcPr>
            <w:tcW w:type="dxa" w:w="3340"/>
            <w:tcMar>
              <w:top w:type="dxa" w:w="80"/>
              <w:left w:type="dxa" w:w="100"/>
              <w:bottom w:type="dxa" w:w="80"/>
              <w:right w:type="dxa" w:w="100"/>
            </w:tcMar>
          </w:tcPr>
          <w:p>
            <w:r>
              <w:rPr>
                <w:sz w:val="20"/>
                <w:szCs w:val="20"/>
              </w:rPr>
              <w:t xml:space="preserve">Key field</w:t>
            </w:r>
          </w:p>
        </w:tc>
      </w:tr>
      <w:tr>
        <w:tc>
          <w:tcPr>
            <w:tcW w:type="dxa" w:w="2000"/>
            <w:tcMar>
              <w:top w:type="dxa" w:w="80"/>
              <w:left w:type="dxa" w:w="100"/>
              <w:bottom w:type="dxa" w:w="80"/>
              <w:right w:type="dxa" w:w="100"/>
            </w:tcMar>
          </w:tcPr>
          <w:p>
            <w:r>
              <w:rPr>
                <w:sz w:val="20"/>
                <w:szCs w:val="20"/>
              </w:rPr>
              <w:t xml:space="preserve">PRCTR</w:t>
            </w:r>
          </w:p>
        </w:tc>
        <w:tc>
          <w:tcPr>
            <w:tcW w:type="dxa" w:w="1800"/>
            <w:tcMar>
              <w:top w:type="dxa" w:w="80"/>
              <w:left w:type="dxa" w:w="100"/>
              <w:bottom w:type="dxa" w:w="80"/>
              <w:right w:type="dxa" w:w="100"/>
            </w:tcMar>
          </w:tcPr>
          <w:p>
            <w:r>
              <w:rPr>
                <w:sz w:val="20"/>
                <w:szCs w:val="20"/>
              </w:rPr>
              <w:t xml:space="preserve">PRCTR</w:t>
            </w:r>
          </w:p>
        </w:tc>
        <w:tc>
          <w:tcPr>
            <w:tcW w:type="dxa" w:w="2400"/>
            <w:tcMar>
              <w:top w:type="dxa" w:w="80"/>
              <w:left w:type="dxa" w:w="100"/>
              <w:bottom w:type="dxa" w:w="80"/>
              <w:right w:type="dxa" w:w="100"/>
            </w:tcMar>
          </w:tcPr>
          <w:p>
            <w:r>
              <w:rPr>
                <w:sz w:val="20"/>
                <w:szCs w:val="20"/>
              </w:rPr>
              <w:t xml:space="preserve">Profit Center</w:t>
            </w:r>
          </w:p>
        </w:tc>
        <w:tc>
          <w:tcPr>
            <w:tcW w:type="dxa" w:w="3340"/>
            <w:tcMar>
              <w:top w:type="dxa" w:w="80"/>
              <w:left w:type="dxa" w:w="100"/>
              <w:bottom w:type="dxa" w:w="80"/>
              <w:right w:type="dxa" w:w="100"/>
            </w:tcMar>
          </w:tcPr>
          <w:p>
            <w:r>
              <w:rPr>
                <w:sz w:val="20"/>
                <w:szCs w:val="20"/>
              </w:rPr>
              <w:t xml:space="preserve">Key field</w:t>
            </w:r>
          </w:p>
        </w:tc>
      </w:tr>
      <w:tr>
        <w:tc>
          <w:tcPr>
            <w:tcW w:type="dxa" w:w="2000"/>
            <w:tcMar>
              <w:top w:type="dxa" w:w="80"/>
              <w:left w:type="dxa" w:w="100"/>
              <w:bottom w:type="dxa" w:w="80"/>
              <w:right w:type="dxa" w:w="100"/>
            </w:tcMar>
          </w:tcPr>
          <w:p>
            <w:r>
              <w:rPr>
                <w:sz w:val="20"/>
                <w:szCs w:val="20"/>
              </w:rPr>
              <w:t xml:space="preserve">KOSAR</w:t>
            </w:r>
          </w:p>
        </w:tc>
        <w:tc>
          <w:tcPr>
            <w:tcW w:type="dxa" w:w="1800"/>
            <w:tcMar>
              <w:top w:type="dxa" w:w="80"/>
              <w:left w:type="dxa" w:w="100"/>
              <w:bottom w:type="dxa" w:w="80"/>
              <w:right w:type="dxa" w:w="100"/>
            </w:tcMar>
          </w:tcPr>
          <w:p>
            <w:r>
              <w:rPr>
                <w:sz w:val="20"/>
                <w:szCs w:val="20"/>
              </w:rPr>
              <w:t xml:space="preserve">KOSAR</w:t>
            </w:r>
          </w:p>
        </w:tc>
        <w:tc>
          <w:tcPr>
            <w:tcW w:type="dxa" w:w="2400"/>
            <w:tcMar>
              <w:top w:type="dxa" w:w="80"/>
              <w:left w:type="dxa" w:w="100"/>
              <w:bottom w:type="dxa" w:w="80"/>
              <w:right w:type="dxa" w:w="100"/>
            </w:tcMar>
          </w:tcPr>
          <w:p>
            <w:r>
              <w:rPr>
                <w:sz w:val="20"/>
                <w:szCs w:val="20"/>
              </w:rPr>
              <w:t xml:space="preserve">Allowed Cost Center Category</w:t>
            </w:r>
          </w:p>
        </w:tc>
        <w:tc>
          <w:tcPr>
            <w:tcW w:type="dxa" w:w="3340"/>
            <w:tcMar>
              <w:top w:type="dxa" w:w="80"/>
              <w:left w:type="dxa" w:w="100"/>
              <w:bottom w:type="dxa" w:w="80"/>
              <w:right w:type="dxa" w:w="100"/>
            </w:tcMar>
          </w:tcPr>
          <w:p>
            <w:r>
              <w:rPr>
                <w:sz w:val="20"/>
                <w:szCs w:val="20"/>
              </w:rPr>
              <w:t xml:space="preserve">One row per allowed category — multiple rows possible per BUKRS/PRCTR</w:t>
            </w:r>
          </w:p>
        </w:tc>
      </w:tr>
    </w:tbl>
    <w:p>
      <w:pPr>
        <w:pStyle w:val="Heading1"/>
        <w:spacing w:after="150" w:before="300"/>
      </w:pPr>
      <w:r>
        <w:t xml:space="preserve">4. Business Rules</w:t>
      </w:r>
    </w:p>
    <w:tbl>
      <w:tblPr>
        <w:tblW w:type="dxa" w:w="9540"/>
        <w:tblBorders>
          <w:top w:val="single" w:color="auto" w:sz="4"/>
          <w:left w:val="single" w:color="auto" w:sz="4"/>
          <w:bottom w:val="single" w:color="auto" w:sz="4"/>
          <w:right w:val="single" w:color="auto" w:sz="4"/>
          <w:insideH w:val="single" w:color="auto" w:sz="4"/>
          <w:insideV w:val="single" w:color="auto" w:sz="4"/>
        </w:tblBorders>
      </w:tblPr>
      <w:tblGrid>
        <w:gridCol w:w="900"/>
        <w:gridCol w:w="4300"/>
        <w:gridCol w:w="4340"/>
      </w:tblGrid>
      <w:tr>
        <w:tc>
          <w:tcPr>
            <w:tcW w:type="dxa" w:w="900"/>
            <w:shd w:fill="2F5496" w:color="auto" w:val="clear"/>
            <w:tcMar>
              <w:top w:type="dxa" w:w="80"/>
              <w:left w:type="dxa" w:w="100"/>
              <w:bottom w:type="dxa" w:w="80"/>
              <w:right w:type="dxa" w:w="100"/>
            </w:tcMar>
          </w:tcPr>
          <w:p>
            <w:r>
              <w:rPr>
                <w:b/>
                <w:bCs/>
                <w:color w:val="FFFFFF"/>
                <w:sz w:val="20"/>
                <w:szCs w:val="20"/>
              </w:rPr>
              <w:t xml:space="preserve">Rule ID</w:t>
            </w:r>
          </w:p>
        </w:tc>
        <w:tc>
          <w:tcPr>
            <w:tcW w:type="dxa" w:w="4300"/>
            <w:shd w:fill="2F5496" w:color="auto" w:val="clear"/>
            <w:tcMar>
              <w:top w:type="dxa" w:w="80"/>
              <w:left w:type="dxa" w:w="100"/>
              <w:bottom w:type="dxa" w:w="80"/>
              <w:right w:type="dxa" w:w="100"/>
            </w:tcMar>
          </w:tcPr>
          <w:p>
            <w:r>
              <w:rPr>
                <w:b/>
                <w:bCs/>
                <w:color w:val="FFFFFF"/>
                <w:sz w:val="20"/>
                <w:szCs w:val="20"/>
              </w:rPr>
              <w:t xml:space="preserve">Rule Description</w:t>
            </w:r>
          </w:p>
        </w:tc>
        <w:tc>
          <w:tcPr>
            <w:tcW w:type="dxa" w:w="4340"/>
            <w:shd w:fill="2F5496" w:color="auto" w:val="clear"/>
            <w:tcMar>
              <w:top w:type="dxa" w:w="80"/>
              <w:left w:type="dxa" w:w="100"/>
              <w:bottom w:type="dxa" w:w="80"/>
              <w:right w:type="dxa" w:w="100"/>
            </w:tcMar>
          </w:tcPr>
          <w:p>
            <w:r>
              <w:rPr>
                <w:b/>
                <w:bCs/>
                <w:color w:val="FFFFFF"/>
                <w:sz w:val="20"/>
                <w:szCs w:val="20"/>
              </w:rPr>
              <w:t xml:space="preserve">System Response</w:t>
            </w:r>
          </w:p>
        </w:tc>
      </w:tr>
      <w:tr>
        <w:tc>
          <w:tcPr>
            <w:tcW w:type="dxa" w:w="900"/>
            <w:tcMar>
              <w:top w:type="dxa" w:w="80"/>
              <w:left w:type="dxa" w:w="100"/>
              <w:bottom w:type="dxa" w:w="80"/>
              <w:right w:type="dxa" w:w="100"/>
            </w:tcMar>
          </w:tcPr>
          <w:p>
            <w:r>
              <w:rPr>
                <w:sz w:val="20"/>
                <w:szCs w:val="20"/>
              </w:rPr>
              <w:t xml:space="preserve">R1</w:t>
            </w:r>
          </w:p>
        </w:tc>
        <w:tc>
          <w:tcPr>
            <w:tcW w:type="dxa" w:w="4300"/>
            <w:tcMar>
              <w:top w:type="dxa" w:w="80"/>
              <w:left w:type="dxa" w:w="100"/>
              <w:bottom w:type="dxa" w:w="80"/>
              <w:right w:type="dxa" w:w="100"/>
            </w:tcMar>
          </w:tcPr>
          <w:p>
            <w:r>
              <w:rPr>
                <w:sz w:val="20"/>
                <w:szCs w:val="20"/>
              </w:rPr>
              <w:t xml:space="preserve">On save of KS01/KS02, read ZVAR_PARAM for the Company Code (BUKRS) and Profit Center (PRCTR) entered on the cost center master record (KOKRS/KOSTL context resolves BUKRS via the assigned company code; PRCTR taken from the cost center's Profit Center field).</w:t>
            </w:r>
          </w:p>
        </w:tc>
        <w:tc>
          <w:tcPr>
            <w:tcW w:type="dxa" w:w="4340"/>
            <w:tcMar>
              <w:top w:type="dxa" w:w="80"/>
              <w:left w:type="dxa" w:w="100"/>
              <w:bottom w:type="dxa" w:w="80"/>
              <w:right w:type="dxa" w:w="100"/>
            </w:tcMar>
          </w:tcPr>
          <w:p>
            <w:r>
              <w:rPr>
                <w:sz w:val="20"/>
                <w:szCs w:val="20"/>
              </w:rPr>
              <w:t xml:space="preserve">Proceed to R2 if at least one entry is found.</w:t>
            </w:r>
          </w:p>
        </w:tc>
      </w:tr>
      <w:tr>
        <w:tc>
          <w:tcPr>
            <w:tcW w:type="dxa" w:w="900"/>
            <w:tcMar>
              <w:top w:type="dxa" w:w="80"/>
              <w:left w:type="dxa" w:w="100"/>
              <w:bottom w:type="dxa" w:w="80"/>
              <w:right w:type="dxa" w:w="100"/>
            </w:tcMar>
          </w:tcPr>
          <w:p>
            <w:r>
              <w:rPr>
                <w:sz w:val="20"/>
                <w:szCs w:val="20"/>
              </w:rPr>
              <w:t xml:space="preserve">R2</w:t>
            </w:r>
          </w:p>
        </w:tc>
        <w:tc>
          <w:tcPr>
            <w:tcW w:type="dxa" w:w="4300"/>
            <w:tcMar>
              <w:top w:type="dxa" w:w="80"/>
              <w:left w:type="dxa" w:w="100"/>
              <w:bottom w:type="dxa" w:w="80"/>
              <w:right w:type="dxa" w:w="100"/>
            </w:tcMar>
          </w:tcPr>
          <w:p>
            <w:r>
              <w:rPr>
                <w:sz w:val="20"/>
                <w:szCs w:val="20"/>
              </w:rPr>
              <w:t xml:space="preserve">Compare the Cost Center Category (KOSAR) entered on the master record against the set of allowed KOSAR values returned for that BUKRS + PRCTR combination.</w:t>
            </w:r>
          </w:p>
        </w:tc>
        <w:tc>
          <w:tcPr>
            <w:tcW w:type="dxa" w:w="4340"/>
            <w:tcMar>
              <w:top w:type="dxa" w:w="80"/>
              <w:left w:type="dxa" w:w="100"/>
              <w:bottom w:type="dxa" w:w="80"/>
              <w:right w:type="dxa" w:w="100"/>
            </w:tcMar>
          </w:tcPr>
          <w:p>
            <w:r>
              <w:rPr>
                <w:sz w:val="20"/>
                <w:szCs w:val="20"/>
              </w:rPr>
              <w:t xml:space="preserve">If KOSAR is in the allowed set, save proceeds normally.</w:t>
            </w:r>
          </w:p>
        </w:tc>
      </w:tr>
      <w:tr>
        <w:tc>
          <w:tcPr>
            <w:tcW w:type="dxa" w:w="900"/>
            <w:tcMar>
              <w:top w:type="dxa" w:w="80"/>
              <w:left w:type="dxa" w:w="100"/>
              <w:bottom w:type="dxa" w:w="80"/>
              <w:right w:type="dxa" w:w="100"/>
            </w:tcMar>
          </w:tcPr>
          <w:p>
            <w:r>
              <w:rPr>
                <w:sz w:val="20"/>
                <w:szCs w:val="20"/>
              </w:rPr>
              <w:t xml:space="preserve">R3</w:t>
            </w:r>
          </w:p>
        </w:tc>
        <w:tc>
          <w:tcPr>
            <w:tcW w:type="dxa" w:w="4300"/>
            <w:tcMar>
              <w:top w:type="dxa" w:w="80"/>
              <w:left w:type="dxa" w:w="100"/>
              <w:bottom w:type="dxa" w:w="80"/>
              <w:right w:type="dxa" w:w="100"/>
            </w:tcMar>
          </w:tcPr>
          <w:p>
            <w:r>
              <w:rPr>
                <w:sz w:val="20"/>
                <w:szCs w:val="20"/>
              </w:rPr>
              <w:t xml:space="preserve">If KOSAR is NOT in the allowed set for that BUKRS + PRCTR combination.</w:t>
            </w:r>
          </w:p>
        </w:tc>
        <w:tc>
          <w:tcPr>
            <w:tcW w:type="dxa" w:w="4340"/>
            <w:tcMar>
              <w:top w:type="dxa" w:w="80"/>
              <w:left w:type="dxa" w:w="100"/>
              <w:bottom w:type="dxa" w:w="80"/>
              <w:right w:type="dxa" w:w="100"/>
            </w:tcMar>
          </w:tcPr>
          <w:p>
            <w:r>
              <w:rPr>
                <w:sz w:val="20"/>
                <w:szCs w:val="20"/>
              </w:rPr>
              <w:t xml:space="preserve">Hard error. Save is blocked. Error message displayed identifying the invalid category and listing the allowed categories for that Company Code / Profit Center.</w:t>
            </w:r>
          </w:p>
        </w:tc>
      </w:tr>
      <w:tr>
        <w:tc>
          <w:tcPr>
            <w:tcW w:type="dxa" w:w="900"/>
            <w:tcMar>
              <w:top w:type="dxa" w:w="80"/>
              <w:left w:type="dxa" w:w="100"/>
              <w:bottom w:type="dxa" w:w="80"/>
              <w:right w:type="dxa" w:w="100"/>
            </w:tcMar>
          </w:tcPr>
          <w:p>
            <w:r>
              <w:rPr>
                <w:sz w:val="20"/>
                <w:szCs w:val="20"/>
              </w:rPr>
              <w:t xml:space="preserve">R4</w:t>
            </w:r>
          </w:p>
        </w:tc>
        <w:tc>
          <w:tcPr>
            <w:tcW w:type="dxa" w:w="4300"/>
            <w:tcMar>
              <w:top w:type="dxa" w:w="80"/>
              <w:left w:type="dxa" w:w="100"/>
              <w:bottom w:type="dxa" w:w="80"/>
              <w:right w:type="dxa" w:w="100"/>
            </w:tcMar>
          </w:tcPr>
          <w:p>
            <w:r>
              <w:rPr>
                <w:sz w:val="20"/>
                <w:szCs w:val="20"/>
              </w:rPr>
              <w:t xml:space="preserve">If no entry exists in ZVAR_PARAM for the BUKRS + PRCTR combination.</w:t>
            </w:r>
          </w:p>
        </w:tc>
        <w:tc>
          <w:tcPr>
            <w:tcW w:type="dxa" w:w="4340"/>
            <w:tcMar>
              <w:top w:type="dxa" w:w="80"/>
              <w:left w:type="dxa" w:w="100"/>
              <w:bottom w:type="dxa" w:w="80"/>
              <w:right w:type="dxa" w:w="100"/>
            </w:tcMar>
          </w:tcPr>
          <w:p>
            <w:r>
              <w:rPr>
                <w:sz w:val="20"/>
                <w:szCs w:val="20"/>
              </w:rPr>
              <w:t xml:space="preserve">To be confirmed with business (see Open Point OP1) — options: (a) no restriction applied (any category allowed), or (b) block with message 'no category configured'.</w:t>
            </w:r>
          </w:p>
        </w:tc>
      </w:tr>
    </w:tbl>
    <w:p>
      <w:pPr>
        <w:pStyle w:val="Heading1"/>
        <w:spacing w:after="150" w:before="300"/>
      </w:pPr>
      <w:r>
        <w:t xml:space="preserve">5. Process Flow</w:t>
      </w:r>
    </w:p>
    <w:p>
      <w:pPr>
        <w:pStyle w:val="ListParagraph"/>
        <w:numPr>
          <w:ilvl w:val="0"/>
          <w:numId w:val="1"/>
        </w:numPr>
        <w:spacing w:after="60"/>
      </w:pPr>
      <w:r>
        <w:t xml:space="preserve">User creates or changes a cost center in KS01/KS02, entering Company Code, Profit Center, and Cost Center Category.</w:t>
      </w:r>
    </w:p>
    <w:p>
      <w:pPr>
        <w:pStyle w:val="ListParagraph"/>
        <w:numPr>
          <w:ilvl w:val="0"/>
          <w:numId w:val="1"/>
        </w:numPr>
        <w:spacing w:after="60"/>
      </w:pPr>
      <w:r>
        <w:t xml:space="preserve">On save, the system reads ZVAR_PARAM for all rows matching the entered Company Code + Profit Center.</w:t>
      </w:r>
    </w:p>
    <w:p>
      <w:pPr>
        <w:pStyle w:val="ListParagraph"/>
        <w:numPr>
          <w:ilvl w:val="0"/>
          <w:numId w:val="1"/>
        </w:numPr>
        <w:spacing w:after="60"/>
      </w:pPr>
      <w:r>
        <w:t xml:space="preserve">The system builds the set of allowed Cost Center Category values from the returned rows.</w:t>
      </w:r>
    </w:p>
    <w:p>
      <w:pPr>
        <w:pStyle w:val="ListParagraph"/>
        <w:numPr>
          <w:ilvl w:val="0"/>
          <w:numId w:val="1"/>
        </w:numPr>
        <w:spacing w:after="60"/>
      </w:pPr>
      <w:r>
        <w:t xml:space="preserve">The entered Cost Center Category is checked against this set.</w:t>
      </w:r>
    </w:p>
    <w:p>
      <w:pPr>
        <w:pStyle w:val="ListParagraph"/>
        <w:numPr>
          <w:ilvl w:val="0"/>
          <w:numId w:val="1"/>
        </w:numPr>
        <w:spacing w:after="60"/>
      </w:pPr>
      <w:r>
        <w:t xml:space="preserve">If found: save proceeds. If not found: save is blocked with an error message (see Rule R3).</w:t>
      </w:r>
    </w:p>
    <w:p>
      <w:pPr>
        <w:pStyle w:val="Heading1"/>
        <w:spacing w:after="150" w:before="300"/>
      </w:pPr>
      <w:r>
        <w:t xml:space="preserve">6. Error Handling</w:t>
      </w:r>
    </w:p>
    <w:p>
      <w:pPr>
        <w:spacing w:after="120"/>
      </w:pPr>
      <w:r>
        <w:t xml:space="preserve">Check type: Hard error (blocking). The user cannot save the cost center master record until a valid Cost Center Category (per the ZVAR_PARAM configuration for the entered Company Code / Profit Center) is entered.</w:t>
      </w:r>
    </w:p>
    <w:p>
      <w:pPr>
        <w:spacing w:after="120"/>
      </w:pPr>
      <w:r>
        <w:t xml:space="preserve">The error message should state the invalid category and, where feasible, list the allowed categories for that Company Code / Profit Center combination, to guide the user to a correction without a separate lookup.</w:t>
      </w:r>
    </w:p>
    <w:p>
      <w:pPr>
        <w:pStyle w:val="Heading1"/>
        <w:spacing w:after="150" w:before="300"/>
      </w:pPr>
      <w:r>
        <w:t xml:space="preserve">7. Open Points</w:t>
      </w:r>
    </w:p>
    <w:tbl>
      <w:tblPr>
        <w:tblW w:type="dxa" w:w="9540"/>
        <w:tblBorders>
          <w:top w:val="single" w:color="auto" w:sz="4"/>
          <w:left w:val="single" w:color="auto" w:sz="4"/>
          <w:bottom w:val="single" w:color="auto" w:sz="4"/>
          <w:right w:val="single" w:color="auto" w:sz="4"/>
          <w:insideH w:val="single" w:color="auto" w:sz="4"/>
          <w:insideV w:val="single" w:color="auto" w:sz="4"/>
        </w:tblBorders>
      </w:tblPr>
      <w:tblGrid>
        <w:gridCol w:w="900"/>
        <w:gridCol w:w="5500"/>
        <w:gridCol w:w="3140"/>
      </w:tblGrid>
      <w:tr>
        <w:tc>
          <w:tcPr>
            <w:tcW w:type="dxa" w:w="900"/>
            <w:shd w:fill="2F5496" w:color="auto" w:val="clear"/>
            <w:tcMar>
              <w:top w:type="dxa" w:w="80"/>
              <w:left w:type="dxa" w:w="100"/>
              <w:bottom w:type="dxa" w:w="80"/>
              <w:right w:type="dxa" w:w="100"/>
            </w:tcMar>
          </w:tcPr>
          <w:p>
            <w:r>
              <w:rPr>
                <w:b/>
                <w:bCs/>
                <w:color w:val="FFFFFF"/>
                <w:sz w:val="20"/>
                <w:szCs w:val="20"/>
              </w:rPr>
              <w:t xml:space="preserve">ID</w:t>
            </w:r>
          </w:p>
        </w:tc>
        <w:tc>
          <w:tcPr>
            <w:tcW w:type="dxa" w:w="5500"/>
            <w:shd w:fill="2F5496" w:color="auto" w:val="clear"/>
            <w:tcMar>
              <w:top w:type="dxa" w:w="80"/>
              <w:left w:type="dxa" w:w="100"/>
              <w:bottom w:type="dxa" w:w="80"/>
              <w:right w:type="dxa" w:w="100"/>
            </w:tcMar>
          </w:tcPr>
          <w:p>
            <w:r>
              <w:rPr>
                <w:b/>
                <w:bCs/>
                <w:color w:val="FFFFFF"/>
                <w:sz w:val="20"/>
                <w:szCs w:val="20"/>
              </w:rPr>
              <w:t xml:space="preserve">Open Point</w:t>
            </w:r>
          </w:p>
        </w:tc>
        <w:tc>
          <w:tcPr>
            <w:tcW w:type="dxa" w:w="3140"/>
            <w:shd w:fill="2F5496" w:color="auto" w:val="clear"/>
            <w:tcMar>
              <w:top w:type="dxa" w:w="80"/>
              <w:left w:type="dxa" w:w="100"/>
              <w:bottom w:type="dxa" w:w="80"/>
              <w:right w:type="dxa" w:w="100"/>
            </w:tcMar>
          </w:tcPr>
          <w:p>
            <w:r>
              <w:rPr>
                <w:b/>
                <w:bCs/>
                <w:color w:val="FFFFFF"/>
                <w:sz w:val="20"/>
                <w:szCs w:val="20"/>
              </w:rPr>
              <w:t xml:space="preserve">Owner</w:t>
            </w:r>
          </w:p>
        </w:tc>
      </w:tr>
      <w:tr>
        <w:tc>
          <w:tcPr>
            <w:tcW w:type="dxa" w:w="900"/>
            <w:tcMar>
              <w:top w:type="dxa" w:w="80"/>
              <w:left w:type="dxa" w:w="100"/>
              <w:bottom w:type="dxa" w:w="80"/>
              <w:right w:type="dxa" w:w="100"/>
            </w:tcMar>
          </w:tcPr>
          <w:p>
            <w:r>
              <w:rPr>
                <w:sz w:val="20"/>
                <w:szCs w:val="20"/>
              </w:rPr>
              <w:t xml:space="preserve">OP1</w:t>
            </w:r>
          </w:p>
        </w:tc>
        <w:tc>
          <w:tcPr>
            <w:tcW w:type="dxa" w:w="5500"/>
            <w:tcMar>
              <w:top w:type="dxa" w:w="80"/>
              <w:left w:type="dxa" w:w="100"/>
              <w:bottom w:type="dxa" w:w="80"/>
              <w:right w:type="dxa" w:w="100"/>
            </w:tcMar>
          </w:tcPr>
          <w:p>
            <w:r>
              <w:rPr>
                <w:sz w:val="20"/>
                <w:szCs w:val="20"/>
              </w:rPr>
              <w:t xml:space="preserve">Confirm system behavior when no ZVAR_PARAM entry exists for a given Company Code + Profit Center (block vs. allow-all).</w:t>
            </w:r>
          </w:p>
        </w:tc>
        <w:tc>
          <w:tcPr>
            <w:tcW w:type="dxa" w:w="3140"/>
            <w:tcMar>
              <w:top w:type="dxa" w:w="80"/>
              <w:left w:type="dxa" w:w="100"/>
              <w:bottom w:type="dxa" w:w="80"/>
              <w:right w:type="dxa" w:w="100"/>
            </w:tcMar>
          </w:tcPr>
          <w:p>
            <w:r>
              <w:rPr>
                <w:sz w:val="20"/>
                <w:szCs w:val="20"/>
              </w:rPr>
              <w:t xml:space="preserve">Business / Process Owner</w:t>
            </w:r>
          </w:p>
        </w:tc>
      </w:tr>
      <w:tr>
        <w:tc>
          <w:tcPr>
            <w:tcW w:type="dxa" w:w="900"/>
            <w:tcMar>
              <w:top w:type="dxa" w:w="80"/>
              <w:left w:type="dxa" w:w="100"/>
              <w:bottom w:type="dxa" w:w="80"/>
              <w:right w:type="dxa" w:w="100"/>
            </w:tcMar>
          </w:tcPr>
          <w:p>
            <w:r>
              <w:rPr>
                <w:sz w:val="20"/>
                <w:szCs w:val="20"/>
              </w:rPr>
              <w:t xml:space="preserve">OP2</w:t>
            </w:r>
          </w:p>
        </w:tc>
        <w:tc>
          <w:tcPr>
            <w:tcW w:type="dxa" w:w="5500"/>
            <w:tcMar>
              <w:top w:type="dxa" w:w="80"/>
              <w:left w:type="dxa" w:w="100"/>
              <w:bottom w:type="dxa" w:w="80"/>
              <w:right w:type="dxa" w:w="100"/>
            </w:tcMar>
          </w:tcPr>
          <w:p>
            <w:r>
              <w:rPr>
                <w:sz w:val="20"/>
                <w:szCs w:val="20"/>
              </w:rPr>
              <w:t xml:space="preserve">Confirm maintenance transaction/process for ZVAR_PARAM (custom SM30 view vs. existing maintenance transaction) and who is authorized to maintain it.</w:t>
            </w:r>
          </w:p>
        </w:tc>
        <w:tc>
          <w:tcPr>
            <w:tcW w:type="dxa" w:w="3140"/>
            <w:tcMar>
              <w:top w:type="dxa" w:w="80"/>
              <w:left w:type="dxa" w:w="100"/>
              <w:bottom w:type="dxa" w:w="80"/>
              <w:right w:type="dxa" w:w="100"/>
            </w:tcMar>
          </w:tcPr>
          <w:p>
            <w:r>
              <w:rPr>
                <w:sz w:val="20"/>
                <w:szCs w:val="20"/>
              </w:rPr>
              <w:t xml:space="preserve">Business / Basis</w:t>
            </w:r>
          </w:p>
        </w:tc>
      </w:tr>
      <w:tr>
        <w:tc>
          <w:tcPr>
            <w:tcW w:type="dxa" w:w="900"/>
            <w:tcMar>
              <w:top w:type="dxa" w:w="80"/>
              <w:left w:type="dxa" w:w="100"/>
              <w:bottom w:type="dxa" w:w="80"/>
              <w:right w:type="dxa" w:w="100"/>
            </w:tcMar>
          </w:tcPr>
          <w:p>
            <w:r>
              <w:rPr>
                <w:sz w:val="20"/>
                <w:szCs w:val="20"/>
              </w:rPr>
              <w:t xml:space="preserve">OP3</w:t>
            </w:r>
          </w:p>
        </w:tc>
        <w:tc>
          <w:tcPr>
            <w:tcW w:type="dxa" w:w="5500"/>
            <w:tcMar>
              <w:top w:type="dxa" w:w="80"/>
              <w:left w:type="dxa" w:w="100"/>
              <w:bottom w:type="dxa" w:w="80"/>
              <w:right w:type="dxa" w:w="100"/>
            </w:tcMar>
          </w:tcPr>
          <w:p>
            <w:r>
              <w:rPr>
                <w:sz w:val="20"/>
                <w:szCs w:val="20"/>
              </w:rPr>
              <w:t xml:space="preserve">Confirm exact error message text and message class/number to be used, or whether a new message needs to be created.</w:t>
            </w:r>
          </w:p>
        </w:tc>
        <w:tc>
          <w:tcPr>
            <w:tcW w:type="dxa" w:w="3140"/>
            <w:tcMar>
              <w:top w:type="dxa" w:w="80"/>
              <w:left w:type="dxa" w:w="100"/>
              <w:bottom w:type="dxa" w:w="80"/>
              <w:right w:type="dxa" w:w="100"/>
            </w:tcMar>
          </w:tcPr>
          <w:p>
            <w:r>
              <w:rPr>
                <w:sz w:val="20"/>
                <w:szCs w:val="20"/>
              </w:rPr>
              <w:t xml:space="preserve">Functional / ABAP</w:t>
            </w:r>
          </w:p>
        </w:tc>
      </w:tr>
    </w:tbl>
    <w:p>
      <w:pPr>
        <w:pStyle w:val="Heading1"/>
        <w:spacing w:after="150" w:before="300"/>
      </w:pPr>
      <w:r>
        <w:t xml:space="preserve">8. Assumptions</w:t>
      </w:r>
    </w:p>
    <w:p>
      <w:pPr>
        <w:pStyle w:val="ListParagraph"/>
        <w:numPr>
          <w:ilvl w:val="0"/>
          <w:numId w:val="1"/>
        </w:numPr>
        <w:spacing w:after="60"/>
      </w:pPr>
      <w:r>
        <w:t xml:space="preserve">BUKRS is derived from the Controlling Area / Company Code assignment context of the cost center being created or changed.</w:t>
      </w:r>
    </w:p>
    <w:p>
      <w:pPr>
        <w:pStyle w:val="ListParagraph"/>
        <w:numPr>
          <w:ilvl w:val="0"/>
          <w:numId w:val="1"/>
        </w:numPr>
        <w:spacing w:after="60"/>
      </w:pPr>
      <w:r>
        <w:t xml:space="preserve">PRCTR refers to the Profit Center field maintained directly on the cost center master record (CSKS-PRCTR).</w:t>
      </w:r>
    </w:p>
    <w:p>
      <w:pPr>
        <w:pStyle w:val="ListParagraph"/>
        <w:numPr>
          <w:ilvl w:val="0"/>
          <w:numId w:val="1"/>
        </w:numPr>
        <w:spacing w:after="60"/>
      </w:pPr>
      <w:r>
        <w:t xml:space="preserve">ZVAR_PARAM is a Z-table already existing/available for this purpose; this spec does not cover its technical creation (DDIC) unless confirmed otherwise.</w:t>
      </w:r>
    </w:p>
    <w:sectPr>
      <w:pgSz w:w="12240" w:h="15840"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2026-08-13T12:42:36.787Z</dcterms:created>
  <dcterms:modified xsi:type="dcterms:W3CDTF">2026-08-13T12:42:36.820Z</dcterms:modified>
</cp:coreProperties>
</file>

<file path=docProps/custom.xml><?xml version="1.0" encoding="utf-8"?>
<Properties xmlns="http://schemas.openxmlformats.org/officeDocument/2006/custom-properties" xmlns:vt="http://schemas.openxmlformats.org/officeDocument/2006/docPropsVTypes"/>
</file>